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3BA7">
      <w:pPr>
        <w:ind w:left="426" w:right="-17"/>
        <w:jc w:val="center"/>
        <w:rPr>
          <w:rFonts w:ascii="Arial" w:hAnsi="Arial" w:cs="Arial"/>
          <w:b/>
        </w:rPr>
      </w:pPr>
      <w:bookmarkStart w:id="0" w:name="_Hlk142658039"/>
      <w:r>
        <w:rPr>
          <w:rFonts w:ascii="Arial" w:hAnsi="Arial" w:cs="Arial"/>
          <w:b/>
        </w:rPr>
        <w:t>ANEXO VI</w:t>
      </w:r>
    </w:p>
    <w:p w14:paraId="3A0A1C83">
      <w:pPr>
        <w:ind w:left="426" w:right="-17"/>
        <w:jc w:val="center"/>
        <w:rPr>
          <w:rFonts w:ascii="Arial" w:hAnsi="Arial" w:cs="Arial"/>
          <w:b/>
        </w:rPr>
      </w:pPr>
    </w:p>
    <w:p w14:paraId="31F0564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35BFE85F">
      <w:pPr>
        <w:ind w:left="426" w:right="-17"/>
        <w:jc w:val="center"/>
        <w:rPr>
          <w:rFonts w:ascii="Arial" w:hAnsi="Arial" w:cs="Arial"/>
          <w:b/>
        </w:rPr>
      </w:pPr>
    </w:p>
    <w:p w14:paraId="12119121">
      <w:pPr>
        <w:ind w:left="4253" w:right="-17"/>
        <w:jc w:val="both"/>
        <w:rPr>
          <w:rFonts w:ascii="Arial" w:hAnsi="Arial" w:cs="Arial"/>
          <w:b/>
        </w:rPr>
      </w:pPr>
    </w:p>
    <w:p w14:paraId="500D8B31">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5773DAF8">
      <w:pPr>
        <w:spacing w:line="276" w:lineRule="auto"/>
        <w:ind w:left="5103" w:right="-17"/>
        <w:jc w:val="both"/>
        <w:rPr>
          <w:rFonts w:ascii="Arial" w:hAnsi="Arial" w:cs="Arial"/>
          <w:b/>
        </w:rPr>
      </w:pPr>
    </w:p>
    <w:bookmarkEnd w:id="1"/>
    <w:p w14:paraId="41999549">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34.830/2023,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rPr>
        <w:t>Pregão Eletrônico nº 90.0</w:t>
      </w:r>
      <w:r>
        <w:rPr>
          <w:rFonts w:hint="default" w:ascii="Arial" w:hAnsi="Arial" w:cs="Arial"/>
          <w:b/>
          <w:bCs/>
          <w:sz w:val="22"/>
          <w:szCs w:val="22"/>
          <w:lang w:val="pt-BR"/>
        </w:rPr>
        <w:t>40/2026</w:t>
      </w:r>
      <w:r>
        <w:rPr>
          <w:rFonts w:ascii="Arial" w:hAnsi="Arial" w:cs="Arial"/>
          <w:sz w:val="22"/>
          <w:szCs w:val="22"/>
        </w:rPr>
        <w:t>, mediante as cláusulas e condições a seguir enunciadas.</w:t>
      </w:r>
    </w:p>
    <w:p w14:paraId="1AA6DC87">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4381D8F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zo Sans Md" w:hAnsi="Azo Sans Md"/>
          <w:b/>
          <w:bCs/>
          <w:color w:val="000000"/>
          <w:szCs w:val="24"/>
        </w:rPr>
        <w:t>C</w:t>
      </w:r>
      <w:r>
        <w:rPr>
          <w:rFonts w:hint="default" w:ascii="Arial" w:hAnsi="Arial" w:eastAsia="Times New Roman" w:cs="Arial"/>
          <w:b/>
          <w:bCs/>
          <w:lang w:val="pt-BR" w:eastAsia="pt-BR"/>
        </w:rPr>
        <w:t>ONTRATAÇÃO DE EMPRESA ESPECIALIZADA PARA AQUISIÇÃO DE 02 (DOIS) VEÍCULOS AUTOMOTORES NOVOS, zero quilômetro, sendo 01 (um) veículo tipo SUV e 01 (um) veículo com capacidade para 07 (sete) lugares, destinados ao atendimento das demandas operacionais da Patrulha Maria da Penha, com recursos financeiros oriundos do Termo de Convênio nº 950677/2023, firmado entre o Município de Nova Friburgo e a União (Ministério das Mulheres), para o atendimento e acolhimento de mulheres vítimas de violência doméstica</w:t>
      </w:r>
      <w:r>
        <w:rPr>
          <w:rFonts w:ascii="Arial" w:hAnsi="Arial" w:cs="Arial"/>
          <w:bCs/>
          <w:iCs/>
        </w:rPr>
        <w:t>, nas condições estabelecidas no Termo de</w:t>
      </w:r>
      <w:bookmarkStart w:id="7" w:name="_GoBack"/>
      <w:bookmarkEnd w:id="7"/>
      <w:r>
        <w:rPr>
          <w:rFonts w:ascii="Arial" w:hAnsi="Arial" w:cs="Arial"/>
          <w:bCs/>
          <w:iCs/>
        </w:rPr>
        <w:t xml:space="preserve"> Referência – Anexo I do edital.</w:t>
      </w:r>
    </w:p>
    <w:p w14:paraId="22CFA9F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06E0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207DC33">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5F1BBAF">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491FE332">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7AC8904D">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46B75688">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3F90E4E3">
            <w:pPr>
              <w:pStyle w:val="19"/>
              <w:ind w:left="0"/>
              <w:jc w:val="center"/>
              <w:rPr>
                <w:rFonts w:ascii="Arial" w:hAnsi="Arial" w:cs="Arial"/>
                <w:b/>
              </w:rPr>
            </w:pPr>
            <w:r>
              <w:rPr>
                <w:rFonts w:ascii="Arial" w:hAnsi="Arial" w:cs="Arial"/>
                <w:b/>
              </w:rPr>
              <w:t>VALOR</w:t>
            </w:r>
          </w:p>
        </w:tc>
      </w:tr>
      <w:tr w14:paraId="2ACF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4753B7EF">
            <w:pPr>
              <w:rPr>
                <w:rFonts w:ascii="Arial" w:hAnsi="Arial" w:cs="Arial"/>
              </w:rPr>
            </w:pPr>
          </w:p>
        </w:tc>
        <w:tc>
          <w:tcPr>
            <w:tcW w:w="606" w:type="pct"/>
            <w:vMerge w:val="continue"/>
            <w:shd w:val="clear" w:color="auto" w:fill="D8D8D8"/>
          </w:tcPr>
          <w:p w14:paraId="437BD81C">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3C6757DF">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3EDE6FF3">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641F83B8">
            <w:pPr>
              <w:rPr>
                <w:rFonts w:ascii="Arial" w:hAnsi="Arial" w:cs="Arial"/>
              </w:rPr>
            </w:pPr>
          </w:p>
        </w:tc>
        <w:tc>
          <w:tcPr>
            <w:tcW w:w="839" w:type="pct"/>
            <w:shd w:val="clear" w:color="auto" w:fill="D8D8D8"/>
            <w:tcMar>
              <w:top w:w="0" w:type="dxa"/>
              <w:left w:w="108" w:type="dxa"/>
              <w:bottom w:w="0" w:type="dxa"/>
              <w:right w:w="108" w:type="dxa"/>
            </w:tcMar>
            <w:vAlign w:val="center"/>
          </w:tcPr>
          <w:p w14:paraId="417EE2D8">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4CF9724D">
            <w:pPr>
              <w:pStyle w:val="19"/>
              <w:ind w:left="0"/>
              <w:jc w:val="center"/>
              <w:rPr>
                <w:rFonts w:ascii="Arial" w:hAnsi="Arial" w:cs="Arial"/>
                <w:b/>
              </w:rPr>
            </w:pPr>
            <w:r>
              <w:rPr>
                <w:rFonts w:ascii="Arial" w:hAnsi="Arial" w:cs="Arial"/>
                <w:b/>
              </w:rPr>
              <w:t>TOTAL</w:t>
            </w:r>
          </w:p>
        </w:tc>
      </w:tr>
      <w:tr w14:paraId="5FA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771B3106">
            <w:pPr>
              <w:pStyle w:val="38"/>
              <w:jc w:val="center"/>
              <w:rPr>
                <w:rFonts w:ascii="Arial" w:hAnsi="Arial" w:cs="Arial"/>
                <w:b/>
              </w:rPr>
            </w:pPr>
            <w:r>
              <w:rPr>
                <w:rFonts w:ascii="Arial" w:hAnsi="Arial" w:cs="Arial"/>
                <w:b/>
              </w:rPr>
              <w:t>1</w:t>
            </w:r>
          </w:p>
        </w:tc>
        <w:tc>
          <w:tcPr>
            <w:tcW w:w="606" w:type="pct"/>
          </w:tcPr>
          <w:p w14:paraId="6315BBB7">
            <w:pPr>
              <w:pStyle w:val="38"/>
              <w:jc w:val="both"/>
              <w:rPr>
                <w:rFonts w:ascii="Arial" w:hAnsi="Arial" w:cs="Arial"/>
              </w:rPr>
            </w:pPr>
          </w:p>
        </w:tc>
        <w:tc>
          <w:tcPr>
            <w:tcW w:w="1328" w:type="pct"/>
            <w:tcMar>
              <w:top w:w="0" w:type="dxa"/>
              <w:left w:w="108" w:type="dxa"/>
              <w:bottom w:w="0" w:type="dxa"/>
              <w:right w:w="108" w:type="dxa"/>
            </w:tcMar>
            <w:vAlign w:val="center"/>
          </w:tcPr>
          <w:p w14:paraId="5629C650">
            <w:pPr>
              <w:pStyle w:val="38"/>
              <w:jc w:val="both"/>
              <w:rPr>
                <w:rFonts w:ascii="Arial" w:hAnsi="Arial" w:cs="Arial"/>
              </w:rPr>
            </w:pPr>
          </w:p>
        </w:tc>
        <w:tc>
          <w:tcPr>
            <w:tcW w:w="534" w:type="pct"/>
            <w:tcMar>
              <w:top w:w="0" w:type="dxa"/>
              <w:left w:w="108" w:type="dxa"/>
              <w:bottom w:w="0" w:type="dxa"/>
              <w:right w:w="108" w:type="dxa"/>
            </w:tcMar>
            <w:vAlign w:val="center"/>
          </w:tcPr>
          <w:p w14:paraId="3BED0055">
            <w:pPr>
              <w:pStyle w:val="38"/>
              <w:jc w:val="center"/>
              <w:rPr>
                <w:rFonts w:ascii="Arial" w:hAnsi="Arial" w:cs="Arial"/>
              </w:rPr>
            </w:pPr>
          </w:p>
        </w:tc>
        <w:tc>
          <w:tcPr>
            <w:tcW w:w="583" w:type="pct"/>
            <w:tcMar>
              <w:top w:w="0" w:type="dxa"/>
              <w:left w:w="108" w:type="dxa"/>
              <w:bottom w:w="0" w:type="dxa"/>
              <w:right w:w="108" w:type="dxa"/>
            </w:tcMar>
            <w:vAlign w:val="center"/>
          </w:tcPr>
          <w:p w14:paraId="1E5534A7">
            <w:pPr>
              <w:pStyle w:val="38"/>
              <w:jc w:val="center"/>
              <w:rPr>
                <w:rFonts w:ascii="Arial" w:hAnsi="Arial" w:cs="Arial"/>
                <w:b/>
              </w:rPr>
            </w:pPr>
          </w:p>
        </w:tc>
        <w:tc>
          <w:tcPr>
            <w:tcW w:w="839" w:type="pct"/>
            <w:tcMar>
              <w:top w:w="0" w:type="dxa"/>
              <w:left w:w="108" w:type="dxa"/>
              <w:bottom w:w="0" w:type="dxa"/>
              <w:right w:w="108" w:type="dxa"/>
            </w:tcMar>
            <w:vAlign w:val="center"/>
          </w:tcPr>
          <w:p w14:paraId="5111C04D">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4D37392">
            <w:pPr>
              <w:pStyle w:val="38"/>
              <w:spacing w:after="0" w:line="240" w:lineRule="auto"/>
              <w:jc w:val="right"/>
              <w:rPr>
                <w:rFonts w:ascii="Arial" w:hAnsi="Arial" w:cs="Arial"/>
                <w:b/>
                <w:bCs/>
              </w:rPr>
            </w:pPr>
          </w:p>
        </w:tc>
      </w:tr>
      <w:tr w14:paraId="082B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170CD2F7">
            <w:pPr>
              <w:pStyle w:val="38"/>
              <w:jc w:val="center"/>
              <w:rPr>
                <w:rFonts w:ascii="Arial" w:hAnsi="Arial" w:cs="Arial"/>
                <w:b/>
              </w:rPr>
            </w:pPr>
            <w:r>
              <w:rPr>
                <w:rFonts w:ascii="Arial" w:hAnsi="Arial" w:cs="Arial"/>
                <w:b/>
              </w:rPr>
              <w:t>…</w:t>
            </w:r>
          </w:p>
        </w:tc>
        <w:tc>
          <w:tcPr>
            <w:tcW w:w="606" w:type="pct"/>
          </w:tcPr>
          <w:p w14:paraId="74FAFE48">
            <w:pPr>
              <w:pStyle w:val="38"/>
              <w:jc w:val="both"/>
              <w:rPr>
                <w:rFonts w:ascii="Arial" w:hAnsi="Arial" w:cs="Arial"/>
              </w:rPr>
            </w:pPr>
          </w:p>
        </w:tc>
        <w:tc>
          <w:tcPr>
            <w:tcW w:w="1328" w:type="pct"/>
            <w:tcMar>
              <w:top w:w="0" w:type="dxa"/>
              <w:left w:w="108" w:type="dxa"/>
              <w:bottom w:w="0" w:type="dxa"/>
              <w:right w:w="108" w:type="dxa"/>
            </w:tcMar>
            <w:vAlign w:val="center"/>
          </w:tcPr>
          <w:p w14:paraId="0344A7DF">
            <w:pPr>
              <w:pStyle w:val="38"/>
              <w:jc w:val="both"/>
              <w:rPr>
                <w:rFonts w:ascii="Arial" w:hAnsi="Arial" w:cs="Arial"/>
              </w:rPr>
            </w:pPr>
          </w:p>
        </w:tc>
        <w:tc>
          <w:tcPr>
            <w:tcW w:w="534" w:type="pct"/>
            <w:tcMar>
              <w:top w:w="0" w:type="dxa"/>
              <w:left w:w="108" w:type="dxa"/>
              <w:bottom w:w="0" w:type="dxa"/>
              <w:right w:w="108" w:type="dxa"/>
            </w:tcMar>
            <w:vAlign w:val="center"/>
          </w:tcPr>
          <w:p w14:paraId="1E6D7FA4">
            <w:pPr>
              <w:pStyle w:val="38"/>
              <w:jc w:val="center"/>
              <w:rPr>
                <w:rFonts w:ascii="Arial" w:hAnsi="Arial" w:cs="Arial"/>
              </w:rPr>
            </w:pPr>
          </w:p>
        </w:tc>
        <w:tc>
          <w:tcPr>
            <w:tcW w:w="583" w:type="pct"/>
            <w:tcMar>
              <w:top w:w="0" w:type="dxa"/>
              <w:left w:w="108" w:type="dxa"/>
              <w:bottom w:w="0" w:type="dxa"/>
              <w:right w:w="108" w:type="dxa"/>
            </w:tcMar>
            <w:vAlign w:val="center"/>
          </w:tcPr>
          <w:p w14:paraId="0EF5F22D">
            <w:pPr>
              <w:pStyle w:val="38"/>
              <w:jc w:val="center"/>
              <w:rPr>
                <w:rFonts w:ascii="Arial" w:hAnsi="Arial" w:cs="Arial"/>
                <w:b/>
              </w:rPr>
            </w:pPr>
          </w:p>
        </w:tc>
        <w:tc>
          <w:tcPr>
            <w:tcW w:w="839" w:type="pct"/>
            <w:tcMar>
              <w:top w:w="0" w:type="dxa"/>
              <w:left w:w="108" w:type="dxa"/>
              <w:bottom w:w="0" w:type="dxa"/>
              <w:right w:w="108" w:type="dxa"/>
            </w:tcMar>
            <w:vAlign w:val="center"/>
          </w:tcPr>
          <w:p w14:paraId="62ED2AE2">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6C78A0E">
            <w:pPr>
              <w:pStyle w:val="38"/>
              <w:spacing w:after="0" w:line="240" w:lineRule="auto"/>
              <w:jc w:val="right"/>
              <w:rPr>
                <w:rFonts w:ascii="Arial" w:hAnsi="Arial" w:cs="Arial"/>
                <w:b/>
                <w:bCs/>
              </w:rPr>
            </w:pPr>
          </w:p>
        </w:tc>
      </w:tr>
    </w:tbl>
    <w:p w14:paraId="4657C0D1">
      <w:pPr>
        <w:pStyle w:val="19"/>
        <w:widowControl/>
        <w:tabs>
          <w:tab w:val="left" w:pos="426"/>
        </w:tabs>
        <w:autoSpaceDE/>
        <w:autoSpaceDN/>
        <w:spacing w:before="120" w:after="120" w:line="276" w:lineRule="auto"/>
        <w:ind w:left="0"/>
        <w:jc w:val="both"/>
        <w:rPr>
          <w:rFonts w:ascii="Arial" w:hAnsi="Arial" w:cs="Arial"/>
          <w:iCs/>
        </w:rPr>
      </w:pPr>
    </w:p>
    <w:p w14:paraId="5F9B4CC3">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5CAC798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1FED8B2F">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7C5A2F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607350F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42D2851B">
      <w:pPr>
        <w:pStyle w:val="19"/>
        <w:widowControl/>
        <w:tabs>
          <w:tab w:val="left" w:pos="426"/>
        </w:tabs>
        <w:autoSpaceDE/>
        <w:autoSpaceDN/>
        <w:spacing w:before="120" w:after="120" w:line="276" w:lineRule="auto"/>
        <w:ind w:left="862"/>
        <w:jc w:val="both"/>
        <w:rPr>
          <w:rFonts w:ascii="Arial" w:hAnsi="Arial" w:cs="Arial"/>
          <w:bCs/>
        </w:rPr>
      </w:pPr>
    </w:p>
    <w:p w14:paraId="6603D47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0558B44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4C96113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71F1789C">
      <w:pPr>
        <w:tabs>
          <w:tab w:val="left" w:pos="426"/>
        </w:tabs>
        <w:rPr>
          <w:rFonts w:ascii="Arial" w:hAnsi="Arial" w:cs="Arial"/>
          <w:bCs/>
          <w:iCs/>
          <w:lang w:val="pt-BR"/>
        </w:rPr>
      </w:pPr>
    </w:p>
    <w:p w14:paraId="21CFF76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64CF2441">
      <w:pPr>
        <w:pStyle w:val="19"/>
        <w:widowControl/>
        <w:numPr>
          <w:ilvl w:val="1"/>
          <w:numId w:val="3"/>
        </w:numPr>
        <w:autoSpaceDE/>
        <w:autoSpaceDN/>
        <w:spacing w:before="120" w:after="120" w:line="276" w:lineRule="auto"/>
        <w:ind w:left="0" w:firstLine="0"/>
        <w:jc w:val="both"/>
        <w:rPr>
          <w:rFonts w:ascii="Arial" w:hAnsi="Arial" w:cs="Arial"/>
          <w:bCs/>
          <w:iCs/>
          <w:u w:val="single"/>
        </w:rPr>
      </w:pPr>
      <w:r>
        <w:rPr>
          <w:rFonts w:ascii="Arial" w:hAnsi="Arial" w:cs="Arial"/>
          <w:bCs/>
          <w:iCs/>
          <w:u w:val="single"/>
        </w:rPr>
        <w:t>MODELO DE EXECUÇÃO DO OBJETO (art. 6º, XXIII, alínea “e” e 40, §1º, inciso II, da Lei nº 14.133/2021):</w:t>
      </w:r>
    </w:p>
    <w:p w14:paraId="2F76EC6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 O prazo de entrega é de até</w:t>
      </w:r>
      <w:r>
        <w:rPr>
          <w:rFonts w:hint="default" w:ascii="Arial" w:hAnsi="Arial" w:eastAsia="Verdana" w:cs="Arial"/>
          <w:bCs/>
          <w:iCs/>
          <w:sz w:val="22"/>
          <w:szCs w:val="22"/>
          <w:lang w:val="pt-BR" w:eastAsia="en-US" w:bidi="ar-SA"/>
        </w:rPr>
        <w:t xml:space="preserve"> 120</w:t>
      </w:r>
      <w:r>
        <w:rPr>
          <w:rFonts w:ascii="Arial" w:hAnsi="Arial" w:eastAsia="Verdana" w:cs="Arial"/>
          <w:bCs/>
          <w:iCs/>
          <w:sz w:val="22"/>
          <w:szCs w:val="22"/>
          <w:lang w:val="pt-PT" w:eastAsia="en-US" w:bidi="ar-SA"/>
        </w:rPr>
        <w:t xml:space="preserve"> </w:t>
      </w:r>
      <w:r>
        <w:rPr>
          <w:rFonts w:hint="default" w:ascii="Arial" w:hAnsi="Arial" w:eastAsia="Verdana" w:cs="Arial"/>
          <w:bCs/>
          <w:iCs/>
          <w:sz w:val="22"/>
          <w:szCs w:val="22"/>
          <w:lang w:val="pt-BR" w:eastAsia="en-US" w:bidi="ar-SA"/>
        </w:rPr>
        <w:t>(cento vinte</w:t>
      </w:r>
      <w:r>
        <w:rPr>
          <w:rFonts w:ascii="Arial" w:hAnsi="Arial" w:eastAsia="Verdana" w:cs="Arial"/>
          <w:bCs/>
          <w:iCs/>
          <w:sz w:val="22"/>
          <w:szCs w:val="22"/>
          <w:lang w:val="pt-PT" w:eastAsia="en-US" w:bidi="ar-SA"/>
        </w:rPr>
        <w:t xml:space="preserve">) dias para os itens </w:t>
      </w:r>
      <w:r>
        <w:rPr>
          <w:rFonts w:hint="default" w:ascii="Arial" w:hAnsi="Arial" w:eastAsia="Verdana" w:cs="Arial"/>
          <w:bCs/>
          <w:iCs/>
          <w:sz w:val="22"/>
          <w:szCs w:val="22"/>
          <w:lang w:val="pt-BR" w:eastAsia="en-US" w:bidi="ar-SA"/>
        </w:rPr>
        <w:t>01</w:t>
      </w:r>
      <w:r>
        <w:rPr>
          <w:rFonts w:ascii="Arial" w:hAnsi="Arial" w:eastAsia="Verdana" w:cs="Arial"/>
          <w:bCs/>
          <w:iCs/>
          <w:sz w:val="22"/>
          <w:szCs w:val="22"/>
          <w:lang w:val="pt-PT" w:eastAsia="en-US" w:bidi="ar-SA"/>
        </w:rPr>
        <w:t xml:space="preserve"> e </w:t>
      </w:r>
      <w:r>
        <w:rPr>
          <w:rFonts w:hint="default" w:ascii="Arial" w:hAnsi="Arial" w:eastAsia="Verdana" w:cs="Arial"/>
          <w:bCs/>
          <w:iCs/>
          <w:sz w:val="22"/>
          <w:szCs w:val="22"/>
          <w:lang w:val="pt-BR" w:eastAsia="en-US" w:bidi="ar-SA"/>
        </w:rPr>
        <w:t>02</w:t>
      </w:r>
      <w:r>
        <w:rPr>
          <w:rFonts w:ascii="Arial" w:hAnsi="Arial" w:eastAsia="Verdana" w:cs="Arial"/>
          <w:bCs/>
          <w:iCs/>
          <w:sz w:val="22"/>
          <w:szCs w:val="22"/>
          <w:lang w:val="pt-PT" w:eastAsia="en-US" w:bidi="ar-SA"/>
        </w:rPr>
        <w:t>, contados do dia seguinte ao recebimento da Nota de Empenho</w:t>
      </w:r>
      <w:r>
        <w:rPr>
          <w:rFonts w:hint="default" w:ascii="Arial" w:hAnsi="Arial" w:eastAsia="Verdana" w:cs="Arial"/>
          <w:bCs/>
          <w:iCs/>
          <w:sz w:val="22"/>
          <w:szCs w:val="22"/>
          <w:lang w:val="pt-BR" w:eastAsia="en-US" w:bidi="ar-SA"/>
        </w:rPr>
        <w:t xml:space="preserve">/ou assinatura de contrato, </w:t>
      </w:r>
      <w:r>
        <w:rPr>
          <w:rFonts w:ascii="Arial" w:hAnsi="Arial" w:eastAsia="Verdana" w:cs="Arial"/>
          <w:bCs/>
          <w:iCs/>
          <w:sz w:val="22"/>
          <w:szCs w:val="22"/>
          <w:lang w:val="pt-PT" w:eastAsia="en-US" w:bidi="ar-SA"/>
        </w:rPr>
        <w:t xml:space="preserve">Autorização de Fornecimento ou documento equivalente. </w:t>
      </w:r>
    </w:p>
    <w:p w14:paraId="4F66295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.2. 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63A83500">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.3. Os bens deverão ser entregues no seguinte endereço: Avenida Alberto Braune, nº 224, Centro, Nova Friburgo/RJ, CEP 28613-000, de segunda à sexta-feira, das 09h às 17h.</w:t>
      </w:r>
    </w:p>
    <w:p w14:paraId="16F82696">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.4. Os bens serão recebidos provisoriamente, de forma sumária, no prazo de 5 (cinco) dias, pelo(a) responsável pelo acompanhamento e fiscalização do contrato, para efeito de posterior verificação de sua conformidade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w:t>
      </w:r>
    </w:p>
    <w:p w14:paraId="00F9C40D">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.5. Os bens poderão ser rejeitados, no todo ou em parte, quando em desacordo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 devendo ser substituídos no prazo de 5 (cinco) dias, a contar da notificação da contratada, às suas custas, sem prejuízo da aplicação das penalidades.</w:t>
      </w:r>
    </w:p>
    <w:p w14:paraId="5FB55FD0">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 Os bens serão recebidos definitivamente no prazo de 3 (três) dias, contados do recebimento provisório, após a verificação da qualidade e quantidade do material e consequente aceitação mediante termo detalhado.</w:t>
      </w:r>
    </w:p>
    <w:p w14:paraId="3C5E276C">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.6.1. Na hipótese de a verificação a que se refere o subitem anterior não ser procedida dentro do prazo fixado, reputar-se-á como realizada, consumando-se o recebimento definitivo no dia do esgotamento do prazo.</w:t>
      </w:r>
    </w:p>
    <w:p w14:paraId="5444C8F1">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.7. O recebimento provisório ou definitivo não excluirá a responsabilidade civil pela solidez e pela segurança do serviço nem a responsabilidade ético-profissional pela perfeita execução do contrato.</w:t>
      </w:r>
    </w:p>
    <w:p w14:paraId="09920D3B">
      <w:pPr>
        <w:tabs>
          <w:tab w:val="left" w:pos="0"/>
        </w:tabs>
        <w:spacing w:line="276" w:lineRule="auto"/>
        <w:ind w:left="0" w:leftChars="0" w:firstLine="0" w:firstLineChars="0"/>
        <w:jc w:val="both"/>
        <w:rPr>
          <w:rFonts w:hint="default"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 xml:space="preserve">.8. </w:t>
      </w:r>
      <w:r>
        <w:rPr>
          <w:rFonts w:hint="default" w:ascii="Arial" w:hAnsi="Arial" w:eastAsia="Verdana" w:cs="Arial"/>
          <w:bCs/>
          <w:iCs/>
          <w:sz w:val="22"/>
          <w:szCs w:val="22"/>
          <w:lang w:val="pt-PT" w:eastAsia="en-US" w:bidi="ar-SA"/>
        </w:rPr>
        <w:t>O prazo de garantia contratual dos veículos automotores, complementar à garantia legal, será de, no mínimo, 03 (três) anos, ou pelo prazo fornecido pelo fabricante, se superior, contados a partir do primeiro dia útil subsequente à data do recebimento definitivo do objeto.</w:t>
      </w:r>
    </w:p>
    <w:p w14:paraId="47D748D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.8.1.1. A garantia abrange a realização da manutenção corretiva dos bens pelo próprio Contratado, ou, se for o caso, por meio de assistência técnica autorizada, de acordo com as normas técnicas específicas.</w:t>
      </w:r>
    </w:p>
    <w:p w14:paraId="4B65862A">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.8.1.2. Entende-se por manutenção corretiva aquela destinada a corrigir os defeitos apresentados pelos bens, compreendendo a substituição de peças, a realização de ajustes, reparos e correções necessárias.</w:t>
      </w:r>
    </w:p>
    <w:p w14:paraId="3326EE98">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.8.1.3.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29AB5765">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.8.1.4. Uma vez notificado, o Contratado realizará a reparação ou substituição dos bens que apresentarem vício ou defeito no prazo de até 7 (sete) dias úteis, contados a partir da data de retirada do equipamento das dependências da Administração pelo Contratado ou pela assistência técnica autorizada.</w:t>
      </w:r>
    </w:p>
    <w:p w14:paraId="5B17C085">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.8.1.5. O prazo indicado no subitem anterior, durante seu transcurso, poderá ser prorrogado uma única vez, por igual período, mediante solicitação escrita e justificada do Contratado, aceita pelo Contratante.</w:t>
      </w:r>
    </w:p>
    <w:p w14:paraId="3ECA2AAF">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.8.1.6.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270BFAA8">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.8.1.7.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2544E64">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.8.1.8. O custo referente ao transporte dos equipamentos cobertos pela garantia será de responsabilidade do Contratado.</w:t>
      </w:r>
    </w:p>
    <w:p w14:paraId="6A809DF3">
      <w:pPr>
        <w:tabs>
          <w:tab w:val="left" w:pos="0"/>
        </w:tabs>
        <w:spacing w:line="276" w:lineRule="auto"/>
        <w:ind w:left="0" w:leftChars="0" w:firstLine="0" w:firstLineChars="0"/>
        <w:jc w:val="both"/>
        <w:rPr>
          <w:rFonts w:ascii="Arial" w:hAnsi="Arial" w:cs="Arial"/>
          <w:bCs/>
          <w:iCs/>
          <w:u w:val="single"/>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.8.1.9.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7343426">
      <w:pPr>
        <w:pStyle w:val="19"/>
        <w:widowControl/>
        <w:numPr>
          <w:ilvl w:val="1"/>
          <w:numId w:val="3"/>
        </w:numPr>
        <w:autoSpaceDE/>
        <w:autoSpaceDN/>
        <w:spacing w:before="120" w:after="120" w:line="276" w:lineRule="auto"/>
        <w:ind w:left="0" w:firstLine="0"/>
        <w:jc w:val="both"/>
        <w:rPr>
          <w:rFonts w:ascii="Arial" w:hAnsi="Arial" w:cs="Arial"/>
          <w:bCs/>
          <w:iCs/>
        </w:rPr>
      </w:pPr>
      <w:r>
        <w:rPr>
          <w:rFonts w:ascii="Arial" w:hAnsi="Arial" w:cs="Arial"/>
          <w:bCs/>
          <w:iCs/>
          <w:u w:val="single"/>
        </w:rPr>
        <w:t>MODELO DE GESTÃO DO CONTRATO (art. 6º, XXIII, alínea ‘f’ da Lei nº 14.133/2021):</w:t>
      </w:r>
    </w:p>
    <w:p w14:paraId="41F430A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14.133/2021, e cada parte responderá pelas consequências de sua inexecução total ou parcial (Lei nº 14.133/2021, art. 115, caput).</w:t>
      </w:r>
    </w:p>
    <w:p w14:paraId="6E64C5B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.2. Em caso de impedimento, ordem de paralisação ou suspensão do contrato, o cronograma de execução será prorrogado automaticamente pelo tempo correspondente, anotadas tais circunstâncias mediante simples apostila (Lei nº 14.133/2021, art. 115, §5º).</w:t>
      </w:r>
    </w:p>
    <w:p w14:paraId="77E377D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3" w:name="bookmark=id.1fob9te" w:colFirst="0" w:colLast="0"/>
      <w:bookmarkEnd w:id="3"/>
      <w:r>
        <w:rPr>
          <w:rFonts w:hint="default" w:ascii="Arial" w:hAnsi="Arial" w:cs="Arial"/>
          <w:bCs/>
          <w:iCs/>
          <w:lang w:val="pt-BR"/>
        </w:rPr>
        <w:t>3.2</w:t>
      </w:r>
      <w:r>
        <w:rPr>
          <w:rFonts w:ascii="Arial" w:hAnsi="Arial" w:cs="Arial"/>
          <w:bCs/>
          <w:iCs/>
        </w:rPr>
        <w:t>.3. A execução do contrato deverá ser acompanhada e fiscalizada pelo(s) fiscal(is) do contrato, ou pelos respectivos substitutos (Lei nº 14.133/2021, art. 117, caput</w:t>
      </w:r>
      <w:bookmarkStart w:id="4" w:name="bookmark=id.3znysh7" w:colFirst="0" w:colLast="0"/>
      <w:bookmarkEnd w:id="4"/>
      <w:r>
        <w:rPr>
          <w:rFonts w:ascii="Arial" w:hAnsi="Arial" w:cs="Arial"/>
          <w:bCs/>
          <w:iCs/>
        </w:rPr>
        <w:t>).</w:t>
      </w:r>
    </w:p>
    <w:p w14:paraId="68F5358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.3.1. O fiscal do contrato anotará em registro próprio todas as ocorrências relacionadas à execução do contrato, determinando o que for necessário para a regularização das faltas ou dos defeitos observados (Lei nº 14.133/2021, art. 117, §1º).</w:t>
      </w:r>
    </w:p>
    <w:p w14:paraId="0333CD9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.3.2. O fiscal do contrato informará a seus superiores, em tempo hábil para a adoção das medidas convenientes, a situação que demandar decisão ou providência que ultrapasse sua competência (Lei nº 14.133/2021, art. 117, §2º).</w:t>
      </w:r>
    </w:p>
    <w:p w14:paraId="6EE255B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.3.3. A Contratada será obrigada a reparar, corrigir, remover, reconstruir ou substituir, a suas expensas, no total ou em parte, o objeto do contrato em que se verificarem vícios, defeitos ou incorreções resultantes de sua execução ou de materiais nela empregados (Lei nº 14.133/2021, art. 119).</w:t>
      </w:r>
    </w:p>
    <w:p w14:paraId="32C5E9A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5" w:name="bookmark=id.2et92p0" w:colFirst="0" w:colLast="0"/>
      <w:bookmarkEnd w:id="5"/>
      <w:r>
        <w:rPr>
          <w:rFonts w:hint="default" w:ascii="Arial" w:hAnsi="Arial" w:cs="Arial"/>
          <w:bCs/>
          <w:iCs/>
          <w:lang w:val="pt-BR"/>
        </w:rPr>
        <w:t>3.2</w:t>
      </w:r>
      <w:r>
        <w:rPr>
          <w:rFonts w:ascii="Arial" w:hAnsi="Arial" w:cs="Arial"/>
          <w:bCs/>
          <w:iCs/>
        </w:rPr>
        <w:t>.4. 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5F238D7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.5. Somente a Contratada será responsável pelos encargos trabalhistas, previdenciários, fiscais e comerciais resultantes da execução do contrato (Lei nº 14.133/2021, art. 121, caput).</w:t>
      </w:r>
    </w:p>
    <w:p w14:paraId="70B6BB7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.5.1. A inadimplência da Contratada em relação aos encargos trabalhistas, fiscais e comerciais não transferirá à Administração a responsabilidade pelo seu pagamento e não poderá onerar o objeto do contrato (Lei nº 14.133/2021, art. 121, §1º).</w:t>
      </w:r>
    </w:p>
    <w:p w14:paraId="06665CC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.6. As comunicações entre o órgão ou entidade e a Contratada devem ser realizadas por escrito sempre que o ato exigir tal formalidade, admitindo-se, excepcionalmente, o uso de mensagem eletrônica para esse fim (IN nº 5/2017, art. 44, §2º).</w:t>
      </w:r>
    </w:p>
    <w:p w14:paraId="7DFDA8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.7. O órgão ou entidade poderá convocar representante da empresa para adoção de providências que devam ser cumpridas de imediato (IN nº 5/2017, art. 44, §3º).</w:t>
      </w:r>
    </w:p>
    <w:p w14:paraId="7621093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.8. 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nº 5/2017, art. 44, 31º).</w:t>
      </w:r>
    </w:p>
    <w:p w14:paraId="071B250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.9. Antes do pagamento da nota fiscal ou da fatura, deverá ser consultada a situação da empresa junto ao SICAF.</w:t>
      </w:r>
    </w:p>
    <w:p w14:paraId="17B7295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.10.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058F3F8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 Além do disposto acima, a fiscalização contratual obedecerá às seguintes rotinas:</w:t>
      </w:r>
    </w:p>
    <w:p w14:paraId="6DE8AB4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.11.1. O acompanhamento, a gestão e a fiscalização da contratação serão exercidas por representantes do Contratante, aos quais competirá dirimir as dúvidas que surgirem no curso da execução do contrato, e de tudo dar ciência à Administração, na forma do disposto no capítulo VI do título III da Lei Federal nº 14.133/2021.</w:t>
      </w:r>
    </w:p>
    <w:p w14:paraId="0B4C961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.11.2. Para o acompanhamento, gestão e fiscalização da execução do presente contrato, serão designados em momento posterior, antes da execução do objeto, agentes públicos gestor/gestor substituto e fiscal/fiscal substituto.</w:t>
      </w:r>
    </w:p>
    <w:p w14:paraId="56664E8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.11.3.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0600454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.11.4. O(s) fiscal(is) designado pela Contratante deverá ter a experiência necessária para o acompanhamento e controle da</w:t>
      </w:r>
      <w:r>
        <w:rPr>
          <w:rFonts w:hint="default" w:ascii="Arial" w:hAnsi="Arial" w:cs="Arial"/>
          <w:bCs/>
          <w:iCs/>
          <w:lang w:val="pt-BR"/>
        </w:rPr>
        <w:t xml:space="preserve"> entrega do veículo.</w:t>
      </w:r>
    </w:p>
    <w:p w14:paraId="173500B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.11.5. A verificação da adequação da prestação do serviço deverá ser realizada com base nos critérios previstos neste Termo de Referência.</w:t>
      </w:r>
    </w:p>
    <w:p w14:paraId="5B8041F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.11.6.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523B894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 Além das obrigações resultantes da aplicação da Lei nº 14.133/2021 e demais normas pertinentes, são obrigações do Contratante:</w:t>
      </w:r>
    </w:p>
    <w:p w14:paraId="558C114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 xml:space="preserve">12.1. Atestar as faturas/notas fiscais da Contratada oriundas da realização dos serviços licitados. </w:t>
      </w:r>
    </w:p>
    <w:p w14:paraId="789DE09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.12.2. Efetuar os pagamentos devidos, nos prazos estabelecidos, à Contratada.</w:t>
      </w:r>
    </w:p>
    <w:p w14:paraId="7B6392B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.12.3. Prestar as informações e os devidos esclarecimentos que venham a ser solicitados pela Contratada.</w:t>
      </w:r>
    </w:p>
    <w:p w14:paraId="216ECD9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 xml:space="preserve">.12.4. Aplicar as penalidades constantes no item das Sanções Administrativas do presente Termo de Referência, bem como instrumento editalício e Lei nº 14.133/2021, em caso de descumprimento de qualquer obrigação por parte da Contratada. </w:t>
      </w:r>
    </w:p>
    <w:p w14:paraId="7615B5F7">
      <w:pPr>
        <w:pStyle w:val="19"/>
        <w:widowControl/>
        <w:numPr>
          <w:ilvl w:val="0"/>
          <w:numId w:val="0"/>
        </w:numPr>
        <w:autoSpaceDE/>
        <w:autoSpaceDN/>
        <w:spacing w:before="120" w:after="120" w:line="276" w:lineRule="auto"/>
        <w:jc w:val="both"/>
        <w:rPr>
          <w:rFonts w:ascii="Arial" w:hAnsi="Arial" w:cs="Arial"/>
          <w:bCs/>
          <w:iCs/>
          <w:u w:val="single"/>
        </w:rPr>
      </w:pPr>
    </w:p>
    <w:p w14:paraId="563F980A">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0B44BCB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70BF75DF">
      <w:pPr>
        <w:pStyle w:val="19"/>
        <w:widowControl/>
        <w:tabs>
          <w:tab w:val="left" w:pos="426"/>
        </w:tabs>
        <w:autoSpaceDE/>
        <w:autoSpaceDN/>
        <w:spacing w:before="120" w:after="120" w:line="276" w:lineRule="auto"/>
        <w:ind w:left="0"/>
        <w:jc w:val="both"/>
        <w:rPr>
          <w:rFonts w:ascii="Arial" w:hAnsi="Arial" w:cs="Arial"/>
          <w:bCs/>
          <w:i/>
          <w:iCs/>
          <w:color w:val="FF0000"/>
        </w:rPr>
      </w:pPr>
    </w:p>
    <w:p w14:paraId="0BDAB535">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7D76626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total da contratação é de R$.......... (.....)</w:t>
      </w:r>
    </w:p>
    <w:p w14:paraId="75E5779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57074D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acima é meramente estimativo, de forma que os pagamentos devidos ao contratado dependerão dos quantitativos efetivamente fornecidos.</w:t>
      </w:r>
    </w:p>
    <w:p w14:paraId="22B51D21">
      <w:pPr>
        <w:pStyle w:val="19"/>
        <w:widowControl/>
        <w:tabs>
          <w:tab w:val="left" w:pos="426"/>
        </w:tabs>
        <w:autoSpaceDE/>
        <w:autoSpaceDN/>
        <w:spacing w:before="120" w:after="120" w:line="276" w:lineRule="auto"/>
        <w:ind w:left="0"/>
        <w:jc w:val="both"/>
        <w:rPr>
          <w:rFonts w:ascii="Arial" w:hAnsi="Arial" w:cs="Arial"/>
          <w:bCs/>
          <w:i/>
          <w:color w:val="FF0000"/>
        </w:rPr>
      </w:pPr>
    </w:p>
    <w:p w14:paraId="6BD5C995">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1B062260">
      <w:pPr>
        <w:pStyle w:val="19"/>
        <w:numPr>
          <w:ilvl w:val="1"/>
          <w:numId w:val="3"/>
        </w:numPr>
        <w:spacing w:line="276" w:lineRule="auto"/>
        <w:ind w:left="0" w:firstLine="0"/>
        <w:jc w:val="both"/>
        <w:rPr>
          <w:rFonts w:ascii="Arial" w:hAnsi="Arial" w:cs="Arial"/>
          <w:bCs/>
          <w:iCs/>
        </w:rPr>
      </w:pPr>
      <w:r>
        <w:rPr>
          <w:rFonts w:ascii="Arial" w:hAnsi="Arial" w:cs="Arial"/>
          <w:bCs/>
          <w:iCs/>
        </w:rPr>
        <w:t xml:space="preserve">A Nota Fiscal deverá ser emitida em nome de </w:t>
      </w:r>
      <w:r>
        <w:rPr>
          <w:rFonts w:ascii="Arial" w:hAnsi="Arial" w:cs="Arial"/>
          <w:b/>
          <w:iCs/>
        </w:rPr>
        <w:t>Município de Nova Friburgo, CNPJ: 28.606.630/0001-23, no endereço: Alameda Eduardo Guinle, nº 137, Centro, Nova Friburgo/RJ, CEP 28.625-130</w:t>
      </w:r>
      <w:r>
        <w:rPr>
          <w:rFonts w:ascii="Arial" w:hAnsi="Arial" w:cs="Arial"/>
          <w:bCs/>
          <w:iCs/>
        </w:rPr>
        <w:t>.</w:t>
      </w:r>
    </w:p>
    <w:p w14:paraId="44D91405">
      <w:pPr>
        <w:pStyle w:val="19"/>
        <w:numPr>
          <w:ilvl w:val="1"/>
          <w:numId w:val="3"/>
        </w:numPr>
        <w:spacing w:line="276" w:lineRule="auto"/>
        <w:ind w:left="0" w:firstLine="0"/>
        <w:jc w:val="both"/>
        <w:rPr>
          <w:rFonts w:ascii="Arial" w:hAnsi="Arial" w:cs="Arial"/>
          <w:bCs/>
          <w:iCs/>
        </w:rPr>
      </w:pPr>
      <w:r>
        <w:rPr>
          <w:rFonts w:ascii="Arial" w:hAnsi="Arial" w:cs="Arial"/>
          <w:bCs/>
          <w:iCs/>
        </w:rPr>
        <w:t>Todos os materiais deverão ser entregues ao Centro de Referência da Mulher (CREM), situado na Avenida Alberto Braune, nº 224, Centro, Nova Friburgo/RJ, CEP 28613-000, de segunda à sexta-feira, das 09h às 17h.</w:t>
      </w:r>
    </w:p>
    <w:p w14:paraId="06DF9B61">
      <w:pPr>
        <w:pStyle w:val="19"/>
        <w:numPr>
          <w:ilvl w:val="1"/>
          <w:numId w:val="3"/>
        </w:numPr>
        <w:spacing w:line="276" w:lineRule="auto"/>
        <w:ind w:left="0" w:firstLine="0"/>
        <w:jc w:val="both"/>
        <w:rPr>
          <w:rFonts w:ascii="Arial" w:hAnsi="Arial" w:cs="Arial"/>
          <w:bCs/>
          <w:iCs/>
          <w:u w:val="single"/>
        </w:rPr>
      </w:pPr>
      <w:r>
        <w:rPr>
          <w:rFonts w:ascii="Arial" w:hAnsi="Arial" w:cs="Arial"/>
          <w:bCs/>
          <w:iCs/>
          <w:u w:val="single"/>
        </w:rPr>
        <w:t>Da liquidação da despesa:</w:t>
      </w:r>
    </w:p>
    <w:p w14:paraId="7673770A">
      <w:pPr>
        <w:pStyle w:val="19"/>
        <w:numPr>
          <w:ilvl w:val="2"/>
          <w:numId w:val="3"/>
        </w:numPr>
        <w:spacing w:line="276" w:lineRule="auto"/>
        <w:ind w:left="0" w:firstLine="0"/>
        <w:jc w:val="both"/>
        <w:rPr>
          <w:rFonts w:ascii="Arial" w:hAnsi="Arial" w:cs="Arial"/>
          <w:bCs/>
          <w:iCs/>
        </w:rPr>
      </w:pPr>
      <w:r>
        <w:rPr>
          <w:rFonts w:ascii="Arial" w:hAnsi="Arial" w:cs="Arial"/>
          <w:bCs/>
          <w:iCs/>
        </w:rPr>
        <w:t>A liquidação será realizada pela Secretaria Municipal de Finanças, Planejamento, Desenvolvimento Econômico e Gestão, a partir do cumprimento das obrigações elencadas neste Termo de Referência, em obediência ao Decreto nº 2493, de 07 de novembro de 2023. https://pmnf.rj.gov.br/paginas-centralizadas/9_64_Legislacoes.html</w:t>
      </w:r>
    </w:p>
    <w:p w14:paraId="14346AF6">
      <w:pPr>
        <w:pStyle w:val="19"/>
        <w:numPr>
          <w:ilvl w:val="2"/>
          <w:numId w:val="3"/>
        </w:numPr>
        <w:tabs>
          <w:tab w:val="left" w:pos="1466"/>
        </w:tabs>
        <w:spacing w:line="276" w:lineRule="auto"/>
        <w:ind w:left="0" w:firstLine="0"/>
        <w:jc w:val="both"/>
        <w:rPr>
          <w:rFonts w:ascii="Arial" w:hAnsi="Arial" w:cs="Arial"/>
          <w:bCs/>
          <w:iCs/>
        </w:rPr>
      </w:pPr>
      <w:r>
        <w:rPr>
          <w:rFonts w:ascii="Arial" w:hAnsi="Arial" w:cs="Arial"/>
          <w:bCs/>
          <w:iCs/>
        </w:rPr>
        <w:t>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14:paraId="6B774358">
      <w:pPr>
        <w:pStyle w:val="19"/>
        <w:numPr>
          <w:ilvl w:val="1"/>
          <w:numId w:val="3"/>
        </w:numPr>
        <w:spacing w:line="276" w:lineRule="auto"/>
        <w:ind w:left="0" w:firstLine="0"/>
        <w:jc w:val="both"/>
        <w:rPr>
          <w:rFonts w:ascii="Arial" w:hAnsi="Arial" w:cs="Arial"/>
          <w:bCs/>
          <w:iCs/>
          <w:u w:val="single"/>
        </w:rPr>
      </w:pPr>
      <w:r>
        <w:rPr>
          <w:rFonts w:ascii="Arial" w:hAnsi="Arial" w:cs="Arial"/>
          <w:bCs/>
          <w:iCs/>
          <w:u w:val="single"/>
        </w:rPr>
        <w:t>Do pagamento da despesa:</w:t>
      </w:r>
    </w:p>
    <w:p w14:paraId="52BDA811">
      <w:pPr>
        <w:pStyle w:val="19"/>
        <w:numPr>
          <w:ilvl w:val="2"/>
          <w:numId w:val="3"/>
        </w:numPr>
        <w:spacing w:line="276" w:lineRule="auto"/>
        <w:ind w:left="0" w:firstLine="0"/>
        <w:jc w:val="both"/>
        <w:rPr>
          <w:rFonts w:ascii="Arial" w:hAnsi="Arial" w:cs="Arial"/>
          <w:bCs/>
          <w:iCs/>
        </w:rPr>
      </w:pPr>
      <w:r>
        <w:rPr>
          <w:rFonts w:ascii="Arial" w:hAnsi="Arial" w:cs="Arial"/>
          <w:bCs/>
          <w:iCs/>
        </w:rPr>
        <w:t>O pagamento será efetuado conforme estabelecido no Decreto Municipal nº 2.493, de 07 de novembro de 2023, desde que as certidões listadas abaixo estejam dentro da validade:</w:t>
      </w:r>
    </w:p>
    <w:p w14:paraId="344F34B8">
      <w:pPr>
        <w:spacing w:line="276" w:lineRule="auto"/>
        <w:jc w:val="both"/>
        <w:rPr>
          <w:rFonts w:ascii="Arial" w:hAnsi="Arial" w:cs="Arial"/>
          <w:bCs/>
          <w:iCs/>
        </w:rPr>
      </w:pPr>
      <w:r>
        <w:rPr>
          <w:rFonts w:ascii="Arial" w:hAnsi="Arial" w:cs="Arial"/>
          <w:bCs/>
          <w:iCs/>
        </w:rPr>
        <w:t xml:space="preserve">- Negativa de Débitos Trabalhistas; </w:t>
      </w:r>
    </w:p>
    <w:p w14:paraId="552C8997">
      <w:pPr>
        <w:spacing w:line="276" w:lineRule="auto"/>
        <w:jc w:val="both"/>
        <w:rPr>
          <w:rFonts w:ascii="Arial" w:hAnsi="Arial" w:cs="Arial"/>
          <w:bCs/>
          <w:iCs/>
        </w:rPr>
      </w:pPr>
      <w:r>
        <w:rPr>
          <w:rFonts w:ascii="Arial" w:hAnsi="Arial" w:cs="Arial"/>
          <w:bCs/>
          <w:iCs/>
        </w:rPr>
        <w:t xml:space="preserve">- Fazenda Federal – abrange as contribuições sociais; </w:t>
      </w:r>
    </w:p>
    <w:p w14:paraId="2B0DD0DC">
      <w:pPr>
        <w:spacing w:line="276" w:lineRule="auto"/>
        <w:jc w:val="both"/>
        <w:rPr>
          <w:rFonts w:ascii="Arial" w:hAnsi="Arial" w:cs="Arial"/>
          <w:bCs/>
          <w:iCs/>
        </w:rPr>
      </w:pPr>
      <w:r>
        <w:rPr>
          <w:rFonts w:ascii="Arial" w:hAnsi="Arial" w:cs="Arial"/>
          <w:bCs/>
          <w:iCs/>
        </w:rPr>
        <w:t xml:space="preserve">- FGTS; </w:t>
      </w:r>
    </w:p>
    <w:p w14:paraId="2C9772CF">
      <w:pPr>
        <w:spacing w:line="276" w:lineRule="auto"/>
        <w:jc w:val="both"/>
        <w:rPr>
          <w:rFonts w:ascii="Arial" w:hAnsi="Arial" w:cs="Arial"/>
          <w:bCs/>
          <w:iCs/>
        </w:rPr>
      </w:pPr>
      <w:r>
        <w:rPr>
          <w:rFonts w:ascii="Arial" w:hAnsi="Arial" w:cs="Arial"/>
          <w:bCs/>
          <w:iCs/>
        </w:rPr>
        <w:t xml:space="preserve">- PGE – referente à Dívida Ativa Estadual; </w:t>
      </w:r>
    </w:p>
    <w:p w14:paraId="7C826792">
      <w:pPr>
        <w:spacing w:line="276" w:lineRule="auto"/>
        <w:jc w:val="both"/>
        <w:rPr>
          <w:rFonts w:ascii="Arial" w:hAnsi="Arial" w:cs="Arial"/>
          <w:bCs/>
          <w:iCs/>
        </w:rPr>
      </w:pPr>
      <w:r>
        <w:rPr>
          <w:rFonts w:ascii="Arial" w:hAnsi="Arial" w:cs="Arial"/>
          <w:bCs/>
          <w:iCs/>
        </w:rPr>
        <w:t xml:space="preserve">- Municipal – referente ao ISS e Dívida Ativa; </w:t>
      </w:r>
    </w:p>
    <w:p w14:paraId="47B2348C">
      <w:pPr>
        <w:spacing w:line="276" w:lineRule="auto"/>
        <w:jc w:val="both"/>
        <w:rPr>
          <w:rFonts w:ascii="Arial" w:hAnsi="Arial" w:cs="Arial"/>
          <w:bCs/>
          <w:iCs/>
        </w:rPr>
      </w:pPr>
      <w:r>
        <w:rPr>
          <w:rFonts w:ascii="Arial" w:hAnsi="Arial" w:cs="Arial"/>
          <w:bCs/>
          <w:iCs/>
        </w:rPr>
        <w:t>- Estadual CND – referente ao ICMS.</w:t>
      </w:r>
    </w:p>
    <w:p w14:paraId="62E04B1F">
      <w:pPr>
        <w:pStyle w:val="19"/>
        <w:numPr>
          <w:ilvl w:val="2"/>
          <w:numId w:val="3"/>
        </w:numPr>
        <w:spacing w:line="276" w:lineRule="auto"/>
        <w:ind w:left="0" w:firstLine="0"/>
        <w:jc w:val="both"/>
        <w:rPr>
          <w:rFonts w:ascii="Arial" w:hAnsi="Arial" w:cs="Arial"/>
          <w:bCs/>
          <w:iCs/>
        </w:rPr>
      </w:pPr>
      <w:r>
        <w:rPr>
          <w:rFonts w:ascii="Arial" w:hAnsi="Arial" w:cs="Arial"/>
          <w:bCs/>
          <w:iCs/>
        </w:rPr>
        <w:t xml:space="preserve">A Nota Fiscal deverá conter a identificação do Banco, número da Agência e da Conta Corrente, para que possibilite o Contratante efetuar o pagamento do valor devido. </w:t>
      </w:r>
    </w:p>
    <w:p w14:paraId="093B7E39">
      <w:pPr>
        <w:pStyle w:val="19"/>
        <w:numPr>
          <w:ilvl w:val="2"/>
          <w:numId w:val="3"/>
        </w:numPr>
        <w:spacing w:line="276" w:lineRule="auto"/>
        <w:ind w:left="0" w:firstLine="0"/>
        <w:jc w:val="both"/>
        <w:rPr>
          <w:rFonts w:ascii="Arial" w:hAnsi="Arial" w:cs="Arial"/>
          <w:bCs/>
          <w:iCs/>
        </w:rPr>
      </w:pPr>
      <w:r>
        <w:rPr>
          <w:rFonts w:ascii="Arial" w:hAnsi="Arial" w:cs="Arial"/>
          <w:bCs/>
          <w:iCs/>
        </w:rPr>
        <w:t>Na ocorrência de rejeição da(s) Nota(s) Fiscal (s), motivada por erro ou incorreções, o prazo para pagamento estipulado acima passará a ser contado a partir da data de sua reapresentação.</w:t>
      </w:r>
    </w:p>
    <w:p w14:paraId="43637E56">
      <w:pPr>
        <w:pStyle w:val="19"/>
        <w:numPr>
          <w:ilvl w:val="2"/>
          <w:numId w:val="3"/>
        </w:numPr>
        <w:spacing w:line="276" w:lineRule="auto"/>
        <w:ind w:left="0" w:firstLine="0"/>
        <w:jc w:val="both"/>
        <w:rPr>
          <w:rFonts w:ascii="Arial" w:hAnsi="Arial" w:cs="Arial"/>
          <w:bCs/>
          <w:iCs/>
        </w:rPr>
      </w:pPr>
      <w:r>
        <w:rPr>
          <w:rFonts w:ascii="Arial" w:hAnsi="Arial" w:cs="Arial"/>
          <w:bCs/>
          <w:iCs/>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676DC2C">
      <w:pPr>
        <w:pStyle w:val="19"/>
        <w:numPr>
          <w:ilvl w:val="2"/>
          <w:numId w:val="3"/>
        </w:numPr>
        <w:ind w:left="0" w:firstLine="0"/>
        <w:jc w:val="both"/>
        <w:rPr>
          <w:rFonts w:ascii="Arial" w:hAnsi="Arial" w:cs="Arial"/>
          <w:bCs/>
          <w:iCs/>
        </w:rPr>
      </w:pPr>
      <w:r>
        <w:rPr>
          <w:rFonts w:ascii="Arial" w:hAnsi="Arial" w:cs="Arial"/>
          <w:bCs/>
          <w:iCs/>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15BD1F45">
      <w:pPr>
        <w:pStyle w:val="19"/>
        <w:tabs>
          <w:tab w:val="left" w:pos="284"/>
        </w:tabs>
        <w:spacing w:line="276" w:lineRule="auto"/>
        <w:ind w:left="0"/>
        <w:jc w:val="both"/>
        <w:rPr>
          <w:rFonts w:ascii="Arial" w:hAnsi="Arial" w:cs="Arial" w:eastAsiaTheme="majorEastAsia"/>
          <w:b/>
          <w:bCs/>
          <w:lang w:val="pt-BR" w:eastAsia="pt-BR"/>
        </w:rPr>
      </w:pPr>
    </w:p>
    <w:p w14:paraId="1D692FD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45A679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3A473D0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150F732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2EC6FB3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E0388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7C90090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7171DF0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05EDBEE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04361CFA">
      <w:pPr>
        <w:widowControl/>
        <w:tabs>
          <w:tab w:val="left" w:pos="426"/>
        </w:tabs>
        <w:autoSpaceDE/>
        <w:autoSpaceDN/>
        <w:spacing w:before="120" w:after="120" w:line="276" w:lineRule="auto"/>
        <w:jc w:val="both"/>
        <w:rPr>
          <w:rFonts w:ascii="Arial" w:hAnsi="Arial" w:cs="Arial"/>
          <w:bCs/>
          <w:i/>
          <w:color w:val="FF0000"/>
        </w:rPr>
      </w:pPr>
    </w:p>
    <w:p w14:paraId="230B2AF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B36985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563989E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49368FB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8EAC04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AC7340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112114A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152B54B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17C4AD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64CA1C1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B0804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354C7DB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0B59359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4089D01">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79F7B4E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03687A7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021ECED">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7B7A08F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26FE8FC0">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4491C2E1">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702435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5F6298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61C4C52">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3E67B97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1879C15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40C6DA6B">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4AD1416E">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3145DA30">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598641B6">
      <w:pPr>
        <w:pStyle w:val="45"/>
        <w:numPr>
          <w:ilvl w:val="1"/>
          <w:numId w:val="3"/>
        </w:numPr>
        <w:rPr>
          <w:sz w:val="22"/>
          <w:szCs w:val="22"/>
        </w:rPr>
      </w:pPr>
      <w:r>
        <w:rPr>
          <w:sz w:val="22"/>
          <w:szCs w:val="22"/>
        </w:rPr>
        <w:t xml:space="preserve">Guardar sigilo sobre todas as informações obtidas em decorrência do cumprimento do contrato; </w:t>
      </w:r>
    </w:p>
    <w:p w14:paraId="758AE31A">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451CABA9">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53160A0A">
      <w:pPr>
        <w:pStyle w:val="19"/>
        <w:tabs>
          <w:tab w:val="left" w:pos="284"/>
        </w:tabs>
        <w:spacing w:line="276" w:lineRule="auto"/>
        <w:ind w:left="0"/>
        <w:rPr>
          <w:rFonts w:ascii="Arial" w:hAnsi="Arial" w:cs="Arial" w:eastAsiaTheme="majorEastAsia"/>
          <w:b/>
          <w:bCs/>
          <w:lang w:val="pt-BR" w:eastAsia="pt-BR"/>
        </w:rPr>
      </w:pPr>
    </w:p>
    <w:p w14:paraId="6CE49B9D">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566CB00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7AD2E9C9">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E2249C5">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31E6B0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18D68CC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3D23A4A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7877D0D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23999C8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2186E5D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AE2036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3012647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45F1D247">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1B695D4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0A9C70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14:paraId="3DC724A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3672F21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36D5EFD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A0F03B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499383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73ABF31F">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6716CB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28AD369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09751E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382456A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5376191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4B994E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5F2162DB">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B6D0F21">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2DBDB583">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56B48A2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926FB5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07EE871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4A6B66A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4594F97D">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4B9EEB66">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2968A3A2">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0E2C953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19882B9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7278926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5B3AAB1D">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50021F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E40D36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510FD06">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27260B78">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293A4A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2DEA630">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351BBD0D">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4E3B266C">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7C6CFD1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3988F89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482CCC26">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03F2C30C">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74253E8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23F7C65E">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12519BC1">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3A5F96F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4E315A8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15C2F50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4DE5CE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7DC21AD0">
      <w:pPr>
        <w:pBdr>
          <w:top w:val="none" w:color="auto" w:sz="0" w:space="0"/>
          <w:left w:val="none" w:color="auto" w:sz="0" w:space="0"/>
          <w:bottom w:val="none" w:color="auto" w:sz="0" w:space="0"/>
          <w:right w:val="none" w:color="auto" w:sz="0" w:space="0"/>
          <w:between w:val="none" w:color="auto" w:sz="0" w:space="0"/>
        </w:pBdr>
        <w:spacing w:line="276" w:lineRule="auto"/>
        <w:ind w:left="0" w:leftChars="0" w:hanging="5"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w:t>
      </w:r>
    </w:p>
    <w:p w14:paraId="7510EFDD">
      <w:pPr>
        <w:pBdr>
          <w:top w:val="none" w:color="auto" w:sz="0" w:space="0"/>
          <w:left w:val="none" w:color="auto" w:sz="0" w:space="0"/>
          <w:bottom w:val="none" w:color="auto" w:sz="0" w:space="0"/>
          <w:right w:val="none" w:color="auto" w:sz="0" w:space="0"/>
          <w:between w:val="none" w:color="auto" w:sz="0" w:space="0"/>
        </w:pBdr>
        <w:spacing w:line="276" w:lineRule="auto"/>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12.1.1. A contratação será atendida pela seguinte dotação:</w:t>
      </w:r>
      <w:r>
        <w:rPr>
          <w:rFonts w:ascii="Arial" w:hAnsi="Arial" w:eastAsia="Verdana" w:cs="Arial"/>
          <w:sz w:val="22"/>
          <w:szCs w:val="22"/>
          <w:lang w:val="pt-PT" w:eastAsia="en-US" w:bidi="ar-SA"/>
        </w:rPr>
        <w:br w:type="textWrapping"/>
      </w:r>
    </w:p>
    <w:tbl>
      <w:tblPr>
        <w:tblStyle w:val="61"/>
        <w:tblW w:w="9070" w:type="dxa"/>
        <w:tblInd w:w="9" w:type="dxa"/>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Layout w:type="fixed"/>
        <w:tblCellMar>
          <w:top w:w="0" w:type="dxa"/>
          <w:left w:w="53" w:type="dxa"/>
          <w:bottom w:w="0" w:type="dxa"/>
          <w:right w:w="108" w:type="dxa"/>
        </w:tblCellMar>
      </w:tblPr>
      <w:tblGrid>
        <w:gridCol w:w="4535"/>
        <w:gridCol w:w="4535"/>
      </w:tblGrid>
      <w:tr w14:paraId="27AA0577">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c>
          <w:tcPr>
            <w:tcW w:w="4535" w:type="dxa"/>
            <w:tcBorders>
              <w:top w:val="single" w:color="000001" w:sz="4" w:space="0"/>
              <w:left w:val="single" w:color="000001" w:sz="4" w:space="0"/>
              <w:bottom w:val="single" w:color="000001" w:sz="4" w:space="0"/>
            </w:tcBorders>
            <w:shd w:val="clear" w:color="auto" w:fill="auto"/>
            <w:tcMar>
              <w:left w:w="21" w:type="dxa"/>
            </w:tcMar>
          </w:tcPr>
          <w:p w14:paraId="10F860F1">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Órgão/Unidade Orçamentária:</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6DE22D70">
            <w:pPr>
              <w:keepNext/>
              <w:widowControl w:val="0"/>
              <w:ind w:left="0" w:leftChars="0" w:hanging="5" w:firstLineChars="0"/>
              <w:jc w:val="both"/>
              <w:rPr>
                <w:rFonts w:ascii="Arial" w:hAnsi="Arial" w:eastAsia="Verdana" w:cs="Arial"/>
                <w:b/>
                <w:bCs/>
                <w:sz w:val="22"/>
                <w:szCs w:val="22"/>
                <w:lang w:val="pt-PT" w:eastAsia="en-US" w:bidi="ar-SA"/>
              </w:rPr>
            </w:pPr>
            <w:r>
              <w:rPr>
                <w:rFonts w:ascii="Arial" w:hAnsi="Arial" w:eastAsia="Verdana" w:cs="Arial"/>
                <w:b/>
                <w:bCs/>
                <w:sz w:val="22"/>
                <w:szCs w:val="22"/>
                <w:lang w:val="pt-PT" w:eastAsia="en-US" w:bidi="ar-SA"/>
              </w:rPr>
              <w:t>Secretaria da Mulher</w:t>
            </w:r>
          </w:p>
        </w:tc>
      </w:tr>
      <w:tr w14:paraId="0DFF7B18">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50"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359CD250">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 Recursos:</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50289ED7">
            <w:pPr>
              <w:keepNext/>
              <w:widowControl w:val="0"/>
              <w:ind w:left="0" w:leftChars="0" w:hanging="5" w:firstLineChars="0"/>
              <w:jc w:val="both"/>
              <w:rPr>
                <w:rFonts w:hint="default" w:ascii="Arial" w:hAnsi="Arial" w:eastAsia="Verdana" w:cs="Arial"/>
                <w:b/>
                <w:bCs/>
                <w:sz w:val="22"/>
                <w:szCs w:val="22"/>
                <w:lang w:val="pt-BR" w:eastAsia="en-US" w:bidi="ar-SA"/>
              </w:rPr>
            </w:pPr>
            <w:r>
              <w:rPr>
                <w:rFonts w:ascii="Arial" w:hAnsi="Arial" w:eastAsia="Verdana" w:cs="Arial"/>
                <w:b/>
                <w:bCs/>
                <w:sz w:val="22"/>
                <w:szCs w:val="22"/>
                <w:lang w:val="pt-PT" w:eastAsia="en-US" w:bidi="ar-SA"/>
              </w:rPr>
              <w:t>17020000000</w:t>
            </w:r>
            <w:r>
              <w:rPr>
                <w:rFonts w:hint="default" w:ascii="Arial" w:hAnsi="Arial" w:eastAsia="Verdana" w:cs="Arial"/>
                <w:b/>
                <w:bCs/>
                <w:sz w:val="22"/>
                <w:szCs w:val="22"/>
                <w:lang w:val="pt-BR" w:eastAsia="en-US" w:bidi="ar-SA"/>
              </w:rPr>
              <w:t>/150000000</w:t>
            </w:r>
          </w:p>
        </w:tc>
      </w:tr>
      <w:tr w14:paraId="008A5218">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88"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6EA77B92">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 Trabalho:</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6366856E">
            <w:pPr>
              <w:keepNext/>
              <w:widowControl w:val="0"/>
              <w:ind w:left="0" w:leftChars="0" w:hanging="5" w:firstLineChars="0"/>
              <w:jc w:val="both"/>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26.002.08.244.0022.1.102</w:t>
            </w:r>
          </w:p>
        </w:tc>
      </w:tr>
      <w:tr w14:paraId="2B2AE407">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50"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295DE1BE">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 xml:space="preserve">Natureza da Despesa: </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412B48E8">
            <w:pPr>
              <w:keepNext/>
              <w:widowControl w:val="0"/>
              <w:ind w:left="0" w:leftChars="0" w:hanging="5" w:firstLineChars="0"/>
              <w:jc w:val="both"/>
              <w:rPr>
                <w:rFonts w:ascii="Arial" w:hAnsi="Arial" w:eastAsia="Verdana" w:cs="Arial"/>
                <w:b/>
                <w:bCs/>
                <w:sz w:val="22"/>
                <w:szCs w:val="22"/>
                <w:lang w:val="pt-PT" w:eastAsia="en-US" w:bidi="ar-SA"/>
              </w:rPr>
            </w:pPr>
            <w:r>
              <w:rPr>
                <w:rFonts w:ascii="Arial" w:hAnsi="Arial" w:eastAsia="Verdana" w:cs="Arial"/>
                <w:b/>
                <w:bCs/>
                <w:sz w:val="22"/>
                <w:szCs w:val="22"/>
                <w:lang w:val="pt-PT" w:eastAsia="en-US" w:bidi="ar-SA"/>
              </w:rPr>
              <w:t xml:space="preserve">4.4.90.52.06 - </w:t>
            </w:r>
          </w:p>
        </w:tc>
      </w:tr>
    </w:tbl>
    <w:p w14:paraId="356D3F75">
      <w:pPr>
        <w:ind w:left="0" w:leftChars="0" w:hanging="5" w:firstLineChars="0"/>
        <w:jc w:val="both"/>
        <w:rPr>
          <w:rFonts w:ascii="Arial" w:hAnsi="Arial" w:eastAsia="Verdana" w:cs="Arial"/>
          <w:sz w:val="22"/>
          <w:szCs w:val="22"/>
          <w:lang w:val="pt-PT" w:eastAsia="en-US" w:bidi="ar-SA"/>
        </w:rPr>
      </w:pPr>
    </w:p>
    <w:p w14:paraId="59ADB6CC">
      <w:pP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 xml:space="preserve">                                                                                       </w:t>
      </w:r>
    </w:p>
    <w:p w14:paraId="78BB0022">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7F99B615">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21474EE9">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102C796B">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4B7577BD">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0FD74F7D">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7BF350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3C5318E3">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7603E5DD">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225347F6">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2D2BBD97">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79A6D87B">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324FC8">
      <w:pPr>
        <w:spacing w:before="120" w:after="120" w:line="276" w:lineRule="auto"/>
        <w:jc w:val="both"/>
        <w:rPr>
          <w:rFonts w:ascii="Arial" w:hAnsi="Arial" w:cs="Arial"/>
        </w:rPr>
      </w:pPr>
    </w:p>
    <w:p w14:paraId="406C1470">
      <w:pPr>
        <w:spacing w:after="120" w:line="360" w:lineRule="auto"/>
        <w:ind w:right="-15"/>
        <w:jc w:val="right"/>
        <w:rPr>
          <w:rFonts w:ascii="Arial" w:hAnsi="Arial" w:cs="Arial"/>
        </w:rPr>
      </w:pPr>
    </w:p>
    <w:p w14:paraId="5D0BFA99">
      <w:pPr>
        <w:spacing w:after="120" w:line="360" w:lineRule="auto"/>
        <w:ind w:right="-15"/>
        <w:jc w:val="right"/>
        <w:rPr>
          <w:rFonts w:ascii="Arial" w:hAnsi="Arial" w:cs="Arial"/>
        </w:rPr>
      </w:pPr>
      <w:r>
        <w:rPr>
          <w:rFonts w:ascii="Arial" w:hAnsi="Arial" w:cs="Arial"/>
        </w:rPr>
        <w:t>...........................................,  .......... de.......................................... de 202</w:t>
      </w:r>
      <w:r>
        <w:rPr>
          <w:rFonts w:hint="default" w:ascii="Arial" w:hAnsi="Arial" w:cs="Arial"/>
          <w:lang w:val="pt-BR"/>
        </w:rPr>
        <w:t>6</w:t>
      </w:r>
      <w:r>
        <w:rPr>
          <w:rFonts w:ascii="Arial" w:hAnsi="Arial" w:cs="Arial"/>
        </w:rPr>
        <w:t>.</w:t>
      </w:r>
    </w:p>
    <w:p w14:paraId="196C98BF">
      <w:pPr>
        <w:spacing w:after="120"/>
        <w:jc w:val="center"/>
        <w:rPr>
          <w:rFonts w:ascii="Arial" w:hAnsi="Arial" w:cs="Arial"/>
          <w:bCs/>
        </w:rPr>
      </w:pPr>
    </w:p>
    <w:p w14:paraId="27C5E360">
      <w:pPr>
        <w:spacing w:after="120"/>
        <w:jc w:val="center"/>
        <w:rPr>
          <w:rFonts w:ascii="Arial" w:hAnsi="Arial" w:cs="Arial"/>
          <w:bCs/>
        </w:rPr>
      </w:pPr>
    </w:p>
    <w:p w14:paraId="270C1E7F">
      <w:pPr>
        <w:spacing w:after="120"/>
        <w:jc w:val="center"/>
        <w:rPr>
          <w:rFonts w:ascii="Arial" w:hAnsi="Arial" w:cs="Arial"/>
          <w:bCs/>
        </w:rPr>
      </w:pPr>
      <w:r>
        <w:rPr>
          <w:rFonts w:ascii="Arial" w:hAnsi="Arial" w:cs="Arial"/>
          <w:bCs/>
        </w:rPr>
        <w:t>_________________________</w:t>
      </w:r>
    </w:p>
    <w:p w14:paraId="42DD7FB1">
      <w:pPr>
        <w:spacing w:after="120"/>
        <w:jc w:val="center"/>
        <w:rPr>
          <w:rFonts w:ascii="Arial" w:hAnsi="Arial" w:cs="Arial"/>
          <w:bCs/>
        </w:rPr>
      </w:pPr>
      <w:r>
        <w:rPr>
          <w:rFonts w:ascii="Arial" w:hAnsi="Arial" w:cs="Arial"/>
          <w:bCs/>
        </w:rPr>
        <w:t>Responsável legal da CONTRATANTE</w:t>
      </w:r>
    </w:p>
    <w:p w14:paraId="7C8A547D">
      <w:pPr>
        <w:spacing w:after="120"/>
        <w:jc w:val="center"/>
        <w:rPr>
          <w:rFonts w:ascii="Arial" w:hAnsi="Arial" w:cs="Arial"/>
        </w:rPr>
      </w:pPr>
    </w:p>
    <w:p w14:paraId="2CE6B039">
      <w:pPr>
        <w:spacing w:after="120"/>
        <w:jc w:val="center"/>
        <w:rPr>
          <w:rFonts w:ascii="Arial" w:hAnsi="Arial" w:cs="Arial"/>
        </w:rPr>
      </w:pPr>
    </w:p>
    <w:p w14:paraId="6C604286">
      <w:pPr>
        <w:spacing w:after="120"/>
        <w:jc w:val="center"/>
        <w:rPr>
          <w:rFonts w:ascii="Arial" w:hAnsi="Arial" w:cs="Arial"/>
        </w:rPr>
      </w:pPr>
      <w:r>
        <w:rPr>
          <w:rFonts w:ascii="Arial" w:hAnsi="Arial" w:cs="Arial"/>
        </w:rPr>
        <w:t>_________________________</w:t>
      </w:r>
    </w:p>
    <w:p w14:paraId="2EDFA6F5">
      <w:pPr>
        <w:spacing w:after="120"/>
        <w:jc w:val="center"/>
        <w:rPr>
          <w:rFonts w:ascii="Arial" w:hAnsi="Arial" w:cs="Arial"/>
        </w:rPr>
      </w:pPr>
      <w:r>
        <w:rPr>
          <w:rFonts w:ascii="Arial" w:hAnsi="Arial" w:cs="Arial"/>
        </w:rPr>
        <w:t>Responsável legal da CONTRATADA</w:t>
      </w:r>
    </w:p>
    <w:p w14:paraId="55EABF18">
      <w:pPr>
        <w:spacing w:after="120"/>
        <w:jc w:val="both"/>
        <w:rPr>
          <w:rFonts w:ascii="Arial" w:hAnsi="Arial" w:cs="Arial"/>
        </w:rPr>
      </w:pPr>
    </w:p>
    <w:p w14:paraId="6E80300F">
      <w:pPr>
        <w:spacing w:after="120"/>
        <w:jc w:val="both"/>
        <w:rPr>
          <w:rFonts w:ascii="Arial" w:hAnsi="Arial" w:cs="Arial"/>
        </w:rPr>
      </w:pPr>
      <w:r>
        <w:rPr>
          <w:rFonts w:ascii="Arial" w:hAnsi="Arial" w:cs="Arial"/>
        </w:rPr>
        <w:t>TESTEMUNHAS:</w:t>
      </w:r>
    </w:p>
    <w:p w14:paraId="1D221EC7">
      <w:pPr>
        <w:spacing w:after="120"/>
        <w:jc w:val="both"/>
        <w:rPr>
          <w:rFonts w:ascii="Arial" w:hAnsi="Arial" w:cs="Arial"/>
        </w:rPr>
      </w:pPr>
      <w:r>
        <w:rPr>
          <w:rFonts w:ascii="Arial" w:hAnsi="Arial" w:cs="Arial"/>
        </w:rPr>
        <w:t>1-</w:t>
      </w:r>
    </w:p>
    <w:p w14:paraId="7A0F1360">
      <w:pPr>
        <w:spacing w:after="120"/>
        <w:jc w:val="both"/>
        <w:rPr>
          <w:rFonts w:ascii="Arial" w:hAnsi="Arial" w:cs="Arial"/>
        </w:rPr>
      </w:pPr>
      <w:r>
        <w:rPr>
          <w:rFonts w:ascii="Arial" w:hAnsi="Arial" w:cs="Arial"/>
        </w:rPr>
        <w:t>2-</w:t>
      </w:r>
    </w:p>
    <w:p w14:paraId="067F0149">
      <w:pPr>
        <w:spacing w:after="120"/>
        <w:jc w:val="both"/>
        <w:rPr>
          <w:rFonts w:ascii="Arial" w:hAnsi="Arial" w:cs="Arial"/>
        </w:rPr>
      </w:pPr>
    </w:p>
    <w:sectPr>
      <w:headerReference r:id="rId3" w:type="default"/>
      <w:footerReference r:id="rId4" w:type="default"/>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EA6A">
    <w:pPr>
      <w:pStyle w:val="15"/>
      <w:jc w:val="center"/>
      <w:rPr>
        <w:rFonts w:ascii="Azo Sans Md" w:hAnsi="Azo Sans Md"/>
        <w:b/>
        <w:bCs/>
        <w:color w:val="000000"/>
        <w:sz w:val="18"/>
        <w:szCs w:val="18"/>
      </w:rPr>
    </w:pPr>
  </w:p>
  <w:p w14:paraId="06C5CB2C">
    <w:pPr>
      <w:pStyle w:val="15"/>
      <w:jc w:val="center"/>
      <w:rPr>
        <w:rFonts w:ascii="Arial" w:hAnsi="Arial" w:cs="Arial"/>
        <w:color w:val="000000"/>
        <w:sz w:val="18"/>
        <w:szCs w:val="18"/>
      </w:rPr>
    </w:pPr>
    <w:r>
      <w:rPr>
        <w:rFonts w:ascii="Arial" w:hAnsi="Arial" w:cs="Arial"/>
        <w:color w:val="000000"/>
        <w:sz w:val="18"/>
        <w:szCs w:val="18"/>
      </w:rPr>
      <w:t xml:space="preserve">Av. Alberto Braune, nº 224 – </w:t>
    </w:r>
    <w:r>
      <w:rPr>
        <w:rFonts w:hint="default" w:ascii="Arial" w:hAnsi="Arial" w:cs="Arial"/>
        <w:color w:val="000000"/>
        <w:sz w:val="18"/>
        <w:szCs w:val="18"/>
        <w:lang w:val="pt-BR"/>
      </w:rPr>
      <w:t>Sobreloja</w:t>
    </w:r>
    <w:r>
      <w:rPr>
        <w:rFonts w:ascii="Arial" w:hAnsi="Arial" w:cs="Arial"/>
        <w:color w:val="000000"/>
        <w:sz w:val="18"/>
        <w:szCs w:val="18"/>
      </w:rPr>
      <w:t xml:space="preserve"> – Centro – Nova Friburgo – RJ</w:t>
    </w:r>
  </w:p>
  <w:p w14:paraId="73728CF7">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1B099EDF">
    <w:pPr>
      <w:pStyle w:val="15"/>
      <w:jc w:val="center"/>
      <w:rPr>
        <w:rFonts w:ascii="Arial" w:hAnsi="Arial" w:cs="Arial"/>
        <w:color w:val="000000"/>
        <w:sz w:val="18"/>
        <w:szCs w:val="18"/>
      </w:rPr>
    </w:pPr>
    <w:r>
      <w:rPr>
        <w:rFonts w:ascii="Arial" w:hAnsi="Arial" w:cs="Arial"/>
        <w:color w:val="000000"/>
        <w:sz w:val="18"/>
        <w:szCs w:val="18"/>
      </w:rPr>
      <w:t>(22) 2525-9101</w:t>
    </w:r>
  </w:p>
  <w:p w14:paraId="4ED23582">
    <w:pPr>
      <w:pStyle w:val="15"/>
      <w:jc w:val="center"/>
      <w:rPr>
        <w:rFonts w:ascii="Arial" w:hAnsi="Arial" w:cs="Arial"/>
        <w:color w:val="000000"/>
        <w:sz w:val="18"/>
        <w:szCs w:val="18"/>
      </w:rPr>
    </w:pPr>
  </w:p>
  <w:p w14:paraId="02869AB6">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543E">
    <w:pPr>
      <w:pStyle w:val="14"/>
      <w:ind w:left="-204" w:leftChars="-100" w:hanging="16" w:hangingChars="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7545" cy="1172845"/>
          <wp:effectExtent l="0" t="0" r="0" b="0"/>
          <wp:docPr id="2" name="Imagem 2" descr="Secretaria da Mul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Secretaria da Mulher"/>
                  <pic:cNvPicPr>
                    <a:picLocks noChangeAspect="1"/>
                  </pic:cNvPicPr>
                </pic:nvPicPr>
                <pic:blipFill>
                  <a:blip r:embed="rId1"/>
                  <a:stretch>
                    <a:fillRect/>
                  </a:stretch>
                </pic:blipFill>
                <pic:spPr>
                  <a:xfrm>
                    <a:off x="0" y="0"/>
                    <a:ext cx="5757545" cy="1172845"/>
                  </a:xfrm>
                  <a:prstGeom prst="rect">
                    <a:avLst/>
                  </a:prstGeom>
                </pic:spPr>
              </pic:pic>
            </a:graphicData>
          </a:graphic>
        </wp:inline>
      </w:drawing>
    </w:r>
  </w:p>
  <w:p w14:paraId="7AD7676A">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79BDBF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90A03"/>
    <w:rsid w:val="00090C31"/>
    <w:rsid w:val="00092735"/>
    <w:rsid w:val="00097D7B"/>
    <w:rsid w:val="000A1E64"/>
    <w:rsid w:val="000B23ED"/>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585C"/>
    <w:rsid w:val="00305E27"/>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7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D6A34"/>
    <w:rsid w:val="006E5958"/>
    <w:rsid w:val="006E635F"/>
    <w:rsid w:val="006F0ECE"/>
    <w:rsid w:val="00702E9E"/>
    <w:rsid w:val="007168B3"/>
    <w:rsid w:val="0071720D"/>
    <w:rsid w:val="00722F56"/>
    <w:rsid w:val="007270C7"/>
    <w:rsid w:val="00735ADD"/>
    <w:rsid w:val="00741433"/>
    <w:rsid w:val="007450B5"/>
    <w:rsid w:val="007476E1"/>
    <w:rsid w:val="0075018C"/>
    <w:rsid w:val="007506FB"/>
    <w:rsid w:val="0075652C"/>
    <w:rsid w:val="00763341"/>
    <w:rsid w:val="00773AA0"/>
    <w:rsid w:val="007767C7"/>
    <w:rsid w:val="00785644"/>
    <w:rsid w:val="00785D66"/>
    <w:rsid w:val="0079421E"/>
    <w:rsid w:val="00797F3F"/>
    <w:rsid w:val="007B0D84"/>
    <w:rsid w:val="007B28CD"/>
    <w:rsid w:val="007C4423"/>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4456"/>
    <w:rsid w:val="008A72D1"/>
    <w:rsid w:val="008B0E02"/>
    <w:rsid w:val="008B1D7C"/>
    <w:rsid w:val="008B71AC"/>
    <w:rsid w:val="008C13A3"/>
    <w:rsid w:val="008C47CA"/>
    <w:rsid w:val="008C4D64"/>
    <w:rsid w:val="008C4FC6"/>
    <w:rsid w:val="008C6F60"/>
    <w:rsid w:val="008D3457"/>
    <w:rsid w:val="008D5F7A"/>
    <w:rsid w:val="008D78EA"/>
    <w:rsid w:val="008E0D21"/>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1ED5"/>
    <w:rsid w:val="00A327A0"/>
    <w:rsid w:val="00A73844"/>
    <w:rsid w:val="00A74974"/>
    <w:rsid w:val="00A75B6C"/>
    <w:rsid w:val="00A87002"/>
    <w:rsid w:val="00A92914"/>
    <w:rsid w:val="00A92CC0"/>
    <w:rsid w:val="00A94653"/>
    <w:rsid w:val="00A96E16"/>
    <w:rsid w:val="00AA4EF9"/>
    <w:rsid w:val="00AC1FD2"/>
    <w:rsid w:val="00AC69AD"/>
    <w:rsid w:val="00AD022C"/>
    <w:rsid w:val="00AD470C"/>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773A4"/>
    <w:rsid w:val="00B92016"/>
    <w:rsid w:val="00B923BE"/>
    <w:rsid w:val="00BA1327"/>
    <w:rsid w:val="00BA2AC6"/>
    <w:rsid w:val="00BA68EF"/>
    <w:rsid w:val="00BB0633"/>
    <w:rsid w:val="00BB36D3"/>
    <w:rsid w:val="00BB3B8F"/>
    <w:rsid w:val="00BB408F"/>
    <w:rsid w:val="00BB527C"/>
    <w:rsid w:val="00BB61D2"/>
    <w:rsid w:val="00BC575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B6468"/>
    <w:rsid w:val="00CB7984"/>
    <w:rsid w:val="00CC0C99"/>
    <w:rsid w:val="00CC288A"/>
    <w:rsid w:val="00CC666F"/>
    <w:rsid w:val="00CE1CB6"/>
    <w:rsid w:val="00CF467B"/>
    <w:rsid w:val="00D048D4"/>
    <w:rsid w:val="00D06A05"/>
    <w:rsid w:val="00D07987"/>
    <w:rsid w:val="00D22F45"/>
    <w:rsid w:val="00D2348E"/>
    <w:rsid w:val="00D249B9"/>
    <w:rsid w:val="00D2776D"/>
    <w:rsid w:val="00D27AFB"/>
    <w:rsid w:val="00D5096A"/>
    <w:rsid w:val="00D64C30"/>
    <w:rsid w:val="00D653DF"/>
    <w:rsid w:val="00D7231B"/>
    <w:rsid w:val="00D7299B"/>
    <w:rsid w:val="00D73E45"/>
    <w:rsid w:val="00D80C21"/>
    <w:rsid w:val="00D90EA5"/>
    <w:rsid w:val="00D9158F"/>
    <w:rsid w:val="00D97BF6"/>
    <w:rsid w:val="00DA0D02"/>
    <w:rsid w:val="00DA57AB"/>
    <w:rsid w:val="00DA7D88"/>
    <w:rsid w:val="00DB1B33"/>
    <w:rsid w:val="00DB4906"/>
    <w:rsid w:val="00DB4944"/>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A0B23D2"/>
    <w:rsid w:val="0A1769B9"/>
    <w:rsid w:val="117A56F8"/>
    <w:rsid w:val="11CC2ACE"/>
    <w:rsid w:val="1585146E"/>
    <w:rsid w:val="1AF72D93"/>
    <w:rsid w:val="1DE505F5"/>
    <w:rsid w:val="1FD12E07"/>
    <w:rsid w:val="259B5C87"/>
    <w:rsid w:val="2AD516CE"/>
    <w:rsid w:val="378C08BA"/>
    <w:rsid w:val="393C2D31"/>
    <w:rsid w:val="3C4D19A5"/>
    <w:rsid w:val="3C9967A2"/>
    <w:rsid w:val="3D361311"/>
    <w:rsid w:val="42313E5F"/>
    <w:rsid w:val="47312A68"/>
    <w:rsid w:val="501F24D5"/>
    <w:rsid w:val="53C65405"/>
    <w:rsid w:val="5C237373"/>
    <w:rsid w:val="5EC56770"/>
    <w:rsid w:val="623C6820"/>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122"/>
    <w:basedOn w:val="18"/>
    <w:qFormat/>
    <w:uiPriority w:val="0"/>
    <w:tblPr>
      <w:tblCellMar>
        <w:left w:w="53"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5460</Words>
  <Characters>30884</Characters>
  <Lines>279</Lines>
  <Paragraphs>79</Paragraphs>
  <TotalTime>4</TotalTime>
  <ScaleCrop>false</ScaleCrop>
  <LinksUpToDate>false</LinksUpToDate>
  <CharactersWithSpaces>36254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2025-08-06T16:44:00Z</cp:lastPrinted>
  <dcterms:modified xsi:type="dcterms:W3CDTF">2026-04-10T17:01:45Z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1046-12.1.0.25242</vt:lpwstr>
  </property>
  <property fmtid="{D5CDD505-2E9C-101B-9397-08002B2CF9AE}" pid="6" name="ICV">
    <vt:lpwstr>5A12B99688F94A699192B17E6B12E63F</vt:lpwstr>
  </property>
  <property fmtid="{D5CDD505-2E9C-101B-9397-08002B2CF9AE}" pid="7" name="KSOTemplateDocerSaveRecord">
    <vt:lpwstr>eyJoZGlkIjoiMWY0MzVjY2ZiZjgxMDAyMDRjNWU4ZGY3ZTA4Mjk0OWUifQ==</vt:lpwstr>
  </property>
</Properties>
</file>